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tabs>
          <w:tab w:leader="none" w:pos="5102" w:val="center"/>
          <w:tab w:leader="none" w:pos="7332" w:val="left"/>
        </w:tabs>
        <w:spacing w:line="240" w:lineRule="auto"/>
        <w:ind w:firstLine="0" w:left="0" w:right="0"/>
        <w:jc w:val="center"/>
        <w:rPr>
          <w:b w:val="1"/>
          <w:sz w:val="18"/>
        </w:rPr>
      </w:pPr>
      <w:r>
        <w:rPr>
          <w:b w:val="1"/>
          <w:sz w:val="18"/>
        </w:rPr>
        <w:t xml:space="preserve"> </w:t>
      </w:r>
      <w:r>
        <w:rPr>
          <w:b w:val="1"/>
          <w:color w:val="212529"/>
          <w:sz w:val="18"/>
        </w:rPr>
        <w:t xml:space="preserve">Орган по сертификации </w:t>
      </w:r>
    </w:p>
    <w:p w14:paraId="03000000">
      <w:pPr>
        <w:spacing w:line="240" w:lineRule="auto"/>
        <w:ind w:firstLine="0" w:left="0" w:right="0"/>
        <w:jc w:val="center"/>
        <w:rPr>
          <w:sz w:val="18"/>
        </w:rPr>
      </w:pPr>
      <w:r>
        <w:rPr>
          <w:b w:val="1"/>
          <w:color w:val="212529"/>
          <w:sz w:val="18"/>
        </w:rPr>
        <w:t xml:space="preserve">Федерального государственного бюджетного учреждения "Всероссийский научно-исследовательский институт труда" </w:t>
      </w:r>
      <w:r>
        <w:rPr>
          <w:b w:val="1"/>
          <w:color w:val="212529"/>
          <w:sz w:val="18"/>
        </w:rPr>
        <w:br/>
      </w:r>
      <w:r>
        <w:rPr>
          <w:b w:val="1"/>
          <w:color w:val="212529"/>
          <w:sz w:val="18"/>
        </w:rPr>
        <w:t>Министерства труда и социальной защиты Российской Федерации</w:t>
      </w:r>
    </w:p>
    <w:p w14:paraId="04000000">
      <w:pPr>
        <w:pStyle w:val="Style_1"/>
        <w:spacing w:line="240" w:lineRule="auto"/>
        <w:ind w:firstLine="0" w:left="0" w:right="0"/>
        <w:jc w:val="center"/>
        <w:rPr>
          <w:b w:val="1"/>
          <w:sz w:val="28"/>
        </w:rPr>
      </w:pPr>
    </w:p>
    <w:p w14:paraId="05000000">
      <w:pPr>
        <w:pStyle w:val="Style_1"/>
        <w:ind/>
        <w:jc w:val="center"/>
        <w:rPr>
          <w:b w:val="1"/>
          <w:color w:val="212529"/>
          <w:sz w:val="24"/>
        </w:rPr>
      </w:pPr>
      <w:r>
        <w:rPr>
          <w:b w:val="1"/>
          <w:color w:val="212529"/>
          <w:sz w:val="24"/>
        </w:rPr>
        <w:t xml:space="preserve">Правила рассмотрения </w:t>
      </w:r>
      <w:r>
        <w:rPr>
          <w:b w:val="1"/>
          <w:color w:val="212529"/>
          <w:sz w:val="24"/>
        </w:rPr>
        <w:t>жалоб и апелляций на решения органа по сертификации</w:t>
      </w:r>
    </w:p>
    <w:p w14:paraId="06000000">
      <w:pPr>
        <w:pStyle w:val="Style_1"/>
        <w:rPr>
          <w:b w:val="1"/>
          <w:color w:val="212529"/>
          <w:sz w:val="12"/>
        </w:rPr>
      </w:pPr>
    </w:p>
    <w:p w14:paraId="07000000">
      <w:pPr>
        <w:pStyle w:val="Style_1"/>
        <w:ind w:firstLine="709" w:left="0"/>
        <w:jc w:val="both"/>
        <w:rPr>
          <w:sz w:val="21"/>
        </w:rPr>
      </w:pPr>
      <w:r>
        <w:rPr>
          <w:sz w:val="21"/>
        </w:rPr>
        <w:t xml:space="preserve">1. Заявитель вправе обратиться с жалобой или апелляцией в </w:t>
      </w:r>
      <w:r>
        <w:rPr>
          <w:sz w:val="21"/>
        </w:rPr>
        <w:t>орган по сертификации</w:t>
      </w:r>
      <w:r>
        <w:rPr>
          <w:sz w:val="21"/>
        </w:rPr>
        <w:t xml:space="preserve"> в следующих случаях:</w:t>
      </w:r>
    </w:p>
    <w:p w14:paraId="08000000">
      <w:pPr>
        <w:pStyle w:val="Style_1"/>
        <w:ind w:firstLine="1" w:left="708"/>
        <w:jc w:val="both"/>
        <w:rPr>
          <w:sz w:val="21"/>
        </w:rPr>
      </w:pPr>
      <w:r>
        <w:rPr>
          <w:sz w:val="21"/>
        </w:rPr>
        <w:t>- отказ органа по се</w:t>
      </w:r>
      <w:r>
        <w:rPr>
          <w:sz w:val="21"/>
        </w:rPr>
        <w:t xml:space="preserve">ртификации от принятия к рассмотрению заявки; </w:t>
      </w:r>
    </w:p>
    <w:p w14:paraId="09000000">
      <w:pPr>
        <w:pStyle w:val="Style_1"/>
        <w:ind w:firstLine="709" w:left="0"/>
        <w:jc w:val="both"/>
        <w:rPr>
          <w:sz w:val="21"/>
        </w:rPr>
      </w:pPr>
      <w:r>
        <w:rPr>
          <w:sz w:val="21"/>
        </w:rPr>
        <w:t>- требования у заявите</w:t>
      </w:r>
      <w:r>
        <w:rPr>
          <w:sz w:val="21"/>
        </w:rPr>
        <w:t>ля документов, не предусмотренных техническими регламентами Таможенного союза, на соответствие которых проводится подтверждение соответствия продукции;</w:t>
      </w:r>
    </w:p>
    <w:p w14:paraId="0A000000">
      <w:pPr>
        <w:pStyle w:val="Style_1"/>
        <w:spacing w:line="228" w:lineRule="auto"/>
        <w:ind w:firstLine="709" w:left="0"/>
        <w:jc w:val="both"/>
        <w:rPr>
          <w:sz w:val="21"/>
        </w:rPr>
      </w:pPr>
      <w:r>
        <w:rPr>
          <w:sz w:val="21"/>
        </w:rPr>
        <w:t>- принятия органом по сертификации не</w:t>
      </w:r>
      <w:r>
        <w:rPr>
          <w:sz w:val="21"/>
        </w:rPr>
        <w:t>обоснованного решения об отказе проведения работ по подтверждению  соответствия продукции;</w:t>
      </w:r>
    </w:p>
    <w:p w14:paraId="0B000000">
      <w:pPr>
        <w:pStyle w:val="Style_1"/>
        <w:spacing w:line="228" w:lineRule="auto"/>
        <w:ind w:firstLine="709" w:left="0"/>
        <w:jc w:val="both"/>
        <w:rPr>
          <w:sz w:val="21"/>
        </w:rPr>
      </w:pPr>
      <w:r>
        <w:rPr>
          <w:sz w:val="21"/>
        </w:rPr>
        <w:t>- н</w:t>
      </w:r>
      <w:r>
        <w:rPr>
          <w:sz w:val="21"/>
        </w:rPr>
        <w:t>еобоснованного отказа в выдаче сертификата соответствия;</w:t>
      </w:r>
    </w:p>
    <w:p w14:paraId="0C000000">
      <w:pPr>
        <w:pStyle w:val="Style_1"/>
        <w:spacing w:line="228" w:lineRule="auto"/>
        <w:ind w:firstLine="709" w:left="0"/>
        <w:jc w:val="both"/>
        <w:rPr>
          <w:sz w:val="21"/>
        </w:rPr>
      </w:pPr>
      <w:r>
        <w:rPr>
          <w:sz w:val="21"/>
        </w:rPr>
        <w:t xml:space="preserve">- приостановки или отмены действия сертификатов соответствия, выданных </w:t>
      </w:r>
      <w:r>
        <w:rPr>
          <w:sz w:val="21"/>
        </w:rPr>
        <w:t>органом по се</w:t>
      </w:r>
      <w:r>
        <w:rPr>
          <w:sz w:val="21"/>
        </w:rPr>
        <w:t>ртификации</w:t>
      </w:r>
      <w:r>
        <w:rPr>
          <w:sz w:val="21"/>
        </w:rPr>
        <w:t>;</w:t>
      </w:r>
    </w:p>
    <w:p w14:paraId="0D000000">
      <w:pPr>
        <w:pStyle w:val="Style_1"/>
        <w:spacing w:line="228" w:lineRule="auto"/>
        <w:ind w:firstLine="709" w:left="0"/>
        <w:jc w:val="both"/>
        <w:rPr>
          <w:sz w:val="21"/>
        </w:rPr>
      </w:pPr>
      <w:r>
        <w:rPr>
          <w:sz w:val="21"/>
        </w:rPr>
        <w:t>- нарушения правил и процедур оценки соответствия;</w:t>
      </w:r>
    </w:p>
    <w:p w14:paraId="0E000000">
      <w:pPr>
        <w:pStyle w:val="Style_1"/>
        <w:spacing w:line="228" w:lineRule="auto"/>
        <w:ind w:firstLine="709" w:left="0"/>
        <w:jc w:val="both"/>
        <w:rPr>
          <w:sz w:val="21"/>
        </w:rPr>
      </w:pPr>
      <w:r>
        <w:rPr>
          <w:sz w:val="21"/>
        </w:rPr>
        <w:t xml:space="preserve">- невыполнения договорных обязательств со стороны </w:t>
      </w:r>
      <w:r>
        <w:rPr>
          <w:sz w:val="21"/>
        </w:rPr>
        <w:t>органа по се</w:t>
      </w:r>
      <w:r>
        <w:rPr>
          <w:sz w:val="21"/>
        </w:rPr>
        <w:t>ртификации</w:t>
      </w:r>
      <w:r>
        <w:rPr>
          <w:sz w:val="21"/>
        </w:rPr>
        <w:t>, в том числе, нарушение сроков выполнения работ по оценке соответствия;</w:t>
      </w:r>
    </w:p>
    <w:p w14:paraId="0F000000">
      <w:pPr>
        <w:pStyle w:val="Style_1"/>
        <w:spacing w:line="228" w:lineRule="auto"/>
        <w:ind w:firstLine="709" w:left="0"/>
        <w:jc w:val="both"/>
        <w:rPr>
          <w:sz w:val="21"/>
        </w:rPr>
      </w:pPr>
      <w:r>
        <w:rPr>
          <w:sz w:val="21"/>
        </w:rPr>
        <w:t xml:space="preserve">- иные действия </w:t>
      </w:r>
      <w:r>
        <w:rPr>
          <w:sz w:val="21"/>
        </w:rPr>
        <w:t>органа по се</w:t>
      </w:r>
      <w:r>
        <w:rPr>
          <w:sz w:val="21"/>
        </w:rPr>
        <w:t>ртификации</w:t>
      </w:r>
      <w:r>
        <w:rPr>
          <w:sz w:val="21"/>
        </w:rPr>
        <w:t xml:space="preserve">, </w:t>
      </w:r>
      <w:r>
        <w:rPr>
          <w:sz w:val="21"/>
        </w:rPr>
        <w:t xml:space="preserve">повлекшие нарушения прав и интересов заявителя по вопросу подтверждения соответствия его продукции. </w:t>
      </w:r>
    </w:p>
    <w:p w14:paraId="10000000">
      <w:pPr>
        <w:pStyle w:val="Style_1"/>
        <w:spacing w:line="228" w:lineRule="auto"/>
        <w:ind w:firstLine="709" w:left="0"/>
        <w:jc w:val="both"/>
        <w:rPr>
          <w:sz w:val="21"/>
        </w:rPr>
      </w:pPr>
      <w:r>
        <w:rPr>
          <w:sz w:val="21"/>
        </w:rPr>
        <w:t xml:space="preserve">2. Жалобы или апелляции направляются заявителем на имя генерального директора </w:t>
      </w:r>
      <w:r>
        <w:rPr>
          <w:sz w:val="21"/>
        </w:rPr>
        <w:br/>
      </w:r>
      <w:r>
        <w:rPr>
          <w:sz w:val="21"/>
        </w:rPr>
        <w:t xml:space="preserve">ФГБУ </w:t>
      </w:r>
      <w:r>
        <w:rPr>
          <w:sz w:val="21"/>
        </w:rPr>
        <w:t>«ВН</w:t>
      </w:r>
      <w:r>
        <w:rPr>
          <w:sz w:val="21"/>
        </w:rPr>
        <w:t xml:space="preserve">ИИ труда» Минтруда России. </w:t>
      </w:r>
    </w:p>
    <w:p w14:paraId="11000000">
      <w:pPr>
        <w:pStyle w:val="Style_1"/>
        <w:spacing w:line="228" w:lineRule="auto"/>
        <w:ind w:firstLine="709" w:left="0"/>
        <w:jc w:val="both"/>
        <w:rPr>
          <w:sz w:val="21"/>
        </w:rPr>
      </w:pPr>
      <w:r>
        <w:rPr>
          <w:sz w:val="21"/>
        </w:rPr>
        <w:t xml:space="preserve">3. Жалоба или апелляция может быть направлена в </w:t>
      </w:r>
      <w:r>
        <w:rPr>
          <w:sz w:val="21"/>
        </w:rPr>
        <w:t>орган по се</w:t>
      </w:r>
      <w:r>
        <w:rPr>
          <w:sz w:val="21"/>
        </w:rPr>
        <w:t>ртификации</w:t>
      </w:r>
      <w:r>
        <w:rPr>
          <w:sz w:val="21"/>
        </w:rPr>
        <w:t xml:space="preserve"> по почте, </w:t>
      </w:r>
      <w:r>
        <w:rPr>
          <w:sz w:val="21"/>
        </w:rPr>
        <w:br/>
      </w:r>
      <w:r>
        <w:rPr>
          <w:sz w:val="21"/>
        </w:rPr>
        <w:t>по электронной почте, а также может быть принята при личном приеме заявителя.</w:t>
      </w:r>
    </w:p>
    <w:p w14:paraId="12000000">
      <w:pPr>
        <w:pStyle w:val="Style_1"/>
        <w:spacing w:line="228" w:lineRule="auto"/>
        <w:ind w:firstLine="709" w:left="0"/>
        <w:jc w:val="both"/>
        <w:rPr>
          <w:sz w:val="21"/>
        </w:rPr>
      </w:pPr>
      <w:r>
        <w:rPr>
          <w:sz w:val="21"/>
        </w:rPr>
        <w:t>4. Жалоба или апелляция должна содержать:</w:t>
      </w:r>
    </w:p>
    <w:p w14:paraId="13000000">
      <w:pPr>
        <w:pStyle w:val="Style_1"/>
        <w:spacing w:line="228" w:lineRule="auto"/>
        <w:ind w:firstLine="709" w:left="0"/>
        <w:jc w:val="both"/>
        <w:rPr>
          <w:sz w:val="21"/>
        </w:rPr>
      </w:pPr>
      <w:r>
        <w:rPr>
          <w:sz w:val="21"/>
        </w:rPr>
        <w:t>1)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4000000">
      <w:pPr>
        <w:pStyle w:val="Style_1"/>
        <w:spacing w:line="228" w:lineRule="auto"/>
        <w:ind w:firstLine="709" w:left="0"/>
        <w:jc w:val="both"/>
        <w:rPr>
          <w:sz w:val="21"/>
        </w:rPr>
      </w:pPr>
      <w:r>
        <w:rPr>
          <w:sz w:val="21"/>
        </w:rPr>
        <w:t xml:space="preserve">2) сведения об обжалуемых решениях и действиях </w:t>
      </w:r>
      <w:r>
        <w:rPr>
          <w:sz w:val="21"/>
        </w:rPr>
        <w:t>органа по се</w:t>
      </w:r>
      <w:r>
        <w:rPr>
          <w:sz w:val="21"/>
        </w:rPr>
        <w:t>ртификации</w:t>
      </w:r>
      <w:r>
        <w:rPr>
          <w:sz w:val="21"/>
        </w:rPr>
        <w:t xml:space="preserve"> либо должностных лиц </w:t>
      </w:r>
      <w:r>
        <w:rPr>
          <w:sz w:val="21"/>
        </w:rPr>
        <w:t>органа по се</w:t>
      </w:r>
      <w:r>
        <w:rPr>
          <w:sz w:val="21"/>
        </w:rPr>
        <w:t>ртификации</w:t>
      </w:r>
      <w:r>
        <w:rPr>
          <w:sz w:val="21"/>
        </w:rPr>
        <w:t>;</w:t>
      </w:r>
    </w:p>
    <w:p w14:paraId="15000000">
      <w:pPr>
        <w:pStyle w:val="Style_1"/>
        <w:spacing w:line="228" w:lineRule="auto"/>
        <w:ind w:firstLine="709" w:left="0"/>
        <w:jc w:val="both"/>
        <w:rPr>
          <w:sz w:val="21"/>
        </w:rPr>
      </w:pPr>
      <w:r>
        <w:rPr>
          <w:sz w:val="21"/>
        </w:rPr>
        <w:t xml:space="preserve">3) доводы, на основании которых заявитель не согласен с решением и действием </w:t>
      </w:r>
      <w:r>
        <w:rPr>
          <w:sz w:val="21"/>
        </w:rPr>
        <w:t>органа по се</w:t>
      </w:r>
      <w:r>
        <w:rPr>
          <w:sz w:val="21"/>
        </w:rPr>
        <w:t>ртификации</w:t>
      </w:r>
      <w:r>
        <w:rPr>
          <w:sz w:val="21"/>
        </w:rPr>
        <w:t xml:space="preserve">  либо должностных лиц </w:t>
      </w:r>
      <w:r>
        <w:rPr>
          <w:sz w:val="21"/>
        </w:rPr>
        <w:t>органа по се</w:t>
      </w:r>
      <w:r>
        <w:rPr>
          <w:sz w:val="21"/>
        </w:rPr>
        <w:t>ртификации</w:t>
      </w:r>
      <w:r>
        <w:rPr>
          <w:sz w:val="21"/>
        </w:rPr>
        <w:t xml:space="preserve">. </w:t>
      </w:r>
    </w:p>
    <w:p w14:paraId="16000000">
      <w:pPr>
        <w:pStyle w:val="Style_1"/>
        <w:spacing w:line="228" w:lineRule="auto"/>
        <w:ind w:firstLine="709" w:left="0"/>
        <w:jc w:val="both"/>
        <w:rPr>
          <w:sz w:val="21"/>
        </w:rPr>
      </w:pPr>
      <w:r>
        <w:rPr>
          <w:sz w:val="21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17000000">
      <w:pPr>
        <w:pStyle w:val="Style_1"/>
        <w:spacing w:line="228" w:lineRule="auto"/>
        <w:ind w:firstLine="709" w:left="0"/>
        <w:jc w:val="both"/>
        <w:rPr>
          <w:sz w:val="21"/>
        </w:rPr>
      </w:pPr>
      <w:r>
        <w:rPr>
          <w:sz w:val="21"/>
        </w:rPr>
        <w:t xml:space="preserve">5. </w:t>
      </w:r>
      <w:r>
        <w:rPr>
          <w:sz w:val="21"/>
        </w:rPr>
        <w:t>Получение</w:t>
      </w:r>
      <w:r>
        <w:rPr>
          <w:sz w:val="21"/>
        </w:rPr>
        <w:t xml:space="preserve"> </w:t>
      </w:r>
      <w:r>
        <w:rPr>
          <w:sz w:val="21"/>
        </w:rPr>
        <w:t>органом по се</w:t>
      </w:r>
      <w:r>
        <w:rPr>
          <w:sz w:val="21"/>
        </w:rPr>
        <w:t>ртификации</w:t>
      </w:r>
      <w:r>
        <w:rPr>
          <w:sz w:val="21"/>
        </w:rPr>
        <w:t xml:space="preserve"> жалобы или апелляции подтверждается у заявителя не позднее следующего рабочего дня с момента ее регистрации.</w:t>
      </w:r>
    </w:p>
    <w:p w14:paraId="18000000">
      <w:pPr>
        <w:pStyle w:val="Style_1"/>
        <w:spacing w:line="228" w:lineRule="auto"/>
        <w:ind w:firstLine="709" w:left="0"/>
        <w:jc w:val="both"/>
        <w:rPr>
          <w:sz w:val="21"/>
        </w:rPr>
      </w:pPr>
      <w:r>
        <w:rPr>
          <w:sz w:val="21"/>
        </w:rPr>
        <w:t>При этом заявителю сообщается  факт получения жалобы, дата регистрации и  регистрационный номер,  сведения о сроках рассмотрения жалобы и принятия соответствующего решения.</w:t>
      </w:r>
    </w:p>
    <w:p w14:paraId="19000000">
      <w:pPr>
        <w:pStyle w:val="Style_1"/>
        <w:spacing w:line="228" w:lineRule="auto"/>
        <w:ind w:firstLine="709" w:left="0"/>
        <w:jc w:val="both"/>
        <w:rPr>
          <w:sz w:val="21"/>
        </w:rPr>
      </w:pPr>
      <w:r>
        <w:rPr>
          <w:sz w:val="21"/>
        </w:rPr>
        <w:t xml:space="preserve">6. Жалоба или апелляция, поступившая в </w:t>
      </w:r>
      <w:r>
        <w:rPr>
          <w:sz w:val="21"/>
        </w:rPr>
        <w:t>орган по се</w:t>
      </w:r>
      <w:r>
        <w:rPr>
          <w:sz w:val="21"/>
        </w:rPr>
        <w:t>ртификации</w:t>
      </w:r>
      <w:r>
        <w:rPr>
          <w:sz w:val="21"/>
        </w:rPr>
        <w:t xml:space="preserve">, подлежит рассмотрению в течение </w:t>
      </w:r>
      <w:r>
        <w:br/>
      </w:r>
      <w:r>
        <w:rPr>
          <w:sz w:val="21"/>
        </w:rPr>
        <w:t>10 (десяти) рабочих дней со дня её регистрации</w:t>
      </w:r>
      <w:r>
        <w:rPr>
          <w:sz w:val="21"/>
        </w:rPr>
        <w:t>.</w:t>
      </w:r>
    </w:p>
    <w:p w14:paraId="1A000000">
      <w:pPr>
        <w:widowControl w:val="1"/>
        <w:spacing w:after="0" w:before="0" w:line="228" w:lineRule="auto"/>
        <w:ind w:firstLine="709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7. По результатам рассмотрения жалобы, апелляции </w:t>
      </w:r>
      <w:r>
        <w:rPr>
          <w:sz w:val="21"/>
        </w:rPr>
        <w:t>органом по се</w:t>
      </w:r>
      <w:r>
        <w:rPr>
          <w:sz w:val="21"/>
        </w:rPr>
        <w:t>ртификации</w:t>
      </w:r>
      <w:r>
        <w:rPr>
          <w:rFonts w:ascii="Times New Roman" w:hAnsi="Times New Roman"/>
          <w:sz w:val="21"/>
        </w:rPr>
        <w:t xml:space="preserve"> принимается одно из  решений:</w:t>
      </w:r>
    </w:p>
    <w:p w14:paraId="1B000000">
      <w:pPr>
        <w:widowControl w:val="1"/>
        <w:spacing w:after="0" w:before="0" w:line="228" w:lineRule="auto"/>
        <w:ind w:firstLine="709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а) удовлетворить жалобу апелляцию (полностью или частично);</w:t>
      </w:r>
    </w:p>
    <w:p w14:paraId="1C000000">
      <w:pPr>
        <w:widowControl w:val="1"/>
        <w:spacing w:after="0" w:before="0" w:line="228" w:lineRule="auto"/>
        <w:ind w:firstLine="709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б) отказать в удовлетворении жалобы, апелляции.</w:t>
      </w:r>
    </w:p>
    <w:p w14:paraId="1D000000">
      <w:pPr>
        <w:widowControl w:val="1"/>
        <w:spacing w:after="0" w:before="0" w:line="228" w:lineRule="auto"/>
        <w:ind w:firstLine="709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8. </w:t>
      </w:r>
      <w:r>
        <w:rPr>
          <w:sz w:val="21"/>
        </w:rPr>
        <w:t>Орган по се</w:t>
      </w:r>
      <w:r>
        <w:rPr>
          <w:sz w:val="21"/>
        </w:rPr>
        <w:t>ртификации</w:t>
      </w:r>
      <w:r>
        <w:rPr>
          <w:rFonts w:ascii="Times New Roman" w:hAnsi="Times New Roman"/>
          <w:sz w:val="21"/>
        </w:rPr>
        <w:t xml:space="preserve"> вправе оставить жалобу, апелляцию  без ответа в следующих случаях: </w:t>
      </w:r>
    </w:p>
    <w:p w14:paraId="1E000000">
      <w:pPr>
        <w:widowControl w:val="1"/>
        <w:spacing w:after="0" w:before="0" w:line="228" w:lineRule="auto"/>
        <w:ind w:firstLine="567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- наличие в жалобе, апелляции нецензурных либо оскорбительных выражений, угроз жизни, здоровью </w:t>
      </w:r>
      <w:r>
        <w:br/>
      </w:r>
      <w:r>
        <w:rPr>
          <w:rFonts w:ascii="Times New Roman" w:hAnsi="Times New Roman"/>
          <w:sz w:val="21"/>
        </w:rPr>
        <w:t>и имуществу должностного лица, а также членов его семьи;</w:t>
      </w:r>
    </w:p>
    <w:p w14:paraId="1F000000">
      <w:pPr>
        <w:widowControl w:val="1"/>
        <w:spacing w:after="0" w:before="0" w:line="228" w:lineRule="auto"/>
        <w:ind w:firstLine="567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-  текст жалобы, апелляции не поддается прочтению; </w:t>
      </w:r>
    </w:p>
    <w:p w14:paraId="20000000">
      <w:pPr>
        <w:widowControl w:val="1"/>
        <w:spacing w:after="0" w:before="0" w:line="228" w:lineRule="auto"/>
        <w:ind w:firstLine="567" w:left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- отсутствие сведений об обжалуемом решении, действии  (в чем выразилось, кем принято), о фамилии заявителя, почтовом адресе или адресе электронной почты, по которому должен быть направлен ответ.</w:t>
      </w:r>
    </w:p>
    <w:p w14:paraId="21000000">
      <w:pPr>
        <w:pStyle w:val="Style_1"/>
        <w:spacing w:line="228" w:lineRule="auto"/>
        <w:ind w:firstLine="567" w:left="0"/>
        <w:jc w:val="both"/>
        <w:rPr>
          <w:sz w:val="21"/>
        </w:rPr>
      </w:pPr>
      <w:r>
        <w:rPr>
          <w:sz w:val="21"/>
        </w:rPr>
        <w:t xml:space="preserve">9. Не позднее дня, следующего за днем принятия решения по жалобе, апелляции, заявителю направляется мотивированный ответ о результатах рассмотрения жалобы, апелляции. </w:t>
      </w:r>
    </w:p>
    <w:p w14:paraId="22000000">
      <w:pPr>
        <w:pStyle w:val="Style_1"/>
        <w:spacing w:line="228" w:lineRule="auto"/>
        <w:ind w:firstLine="567" w:left="0"/>
        <w:jc w:val="both"/>
        <w:rPr>
          <w:sz w:val="21"/>
        </w:rPr>
      </w:pPr>
      <w:r>
        <w:rPr>
          <w:sz w:val="21"/>
        </w:rPr>
        <w:t xml:space="preserve">10. Ответ о результатах рассмотрения жалобы, апелляции должен содержать следующую информацию: </w:t>
      </w:r>
    </w:p>
    <w:p w14:paraId="23000000">
      <w:pPr>
        <w:pStyle w:val="Style_1"/>
        <w:spacing w:line="228" w:lineRule="auto"/>
        <w:ind w:firstLine="567" w:left="0"/>
        <w:jc w:val="both"/>
        <w:rPr>
          <w:sz w:val="21"/>
        </w:rPr>
      </w:pPr>
      <w:r>
        <w:rPr>
          <w:sz w:val="21"/>
        </w:rPr>
        <w:t xml:space="preserve">а) наименование </w:t>
      </w:r>
      <w:r>
        <w:rPr>
          <w:sz w:val="21"/>
        </w:rPr>
        <w:t>органа по се</w:t>
      </w:r>
      <w:r>
        <w:rPr>
          <w:sz w:val="21"/>
        </w:rPr>
        <w:t>ртификации</w:t>
      </w:r>
      <w:r>
        <w:rPr>
          <w:sz w:val="21"/>
        </w:rPr>
        <w:t xml:space="preserve">, рассмотревшего жалобу, апелляцию, должность, фамилия, имя, отчество его должностного лица, принявшего решение по жалобе, апелляции; </w:t>
      </w:r>
    </w:p>
    <w:p w14:paraId="24000000">
      <w:pPr>
        <w:pStyle w:val="Style_1"/>
        <w:spacing w:line="228" w:lineRule="auto"/>
        <w:ind w:firstLine="567" w:left="0"/>
        <w:jc w:val="both"/>
        <w:rPr>
          <w:sz w:val="21"/>
        </w:rPr>
      </w:pPr>
      <w:r>
        <w:rPr>
          <w:sz w:val="21"/>
        </w:rPr>
        <w:t xml:space="preserve">б) номер, дата, принятия решения, включая сведения о должностном лице, решение или действие которого обжалуется; </w:t>
      </w:r>
    </w:p>
    <w:p w14:paraId="25000000">
      <w:pPr>
        <w:pStyle w:val="Style_1"/>
        <w:spacing w:line="228" w:lineRule="auto"/>
        <w:ind w:firstLine="567" w:left="0"/>
        <w:jc w:val="both"/>
        <w:rPr>
          <w:sz w:val="21"/>
        </w:rPr>
      </w:pPr>
      <w:r>
        <w:rPr>
          <w:sz w:val="21"/>
        </w:rPr>
        <w:t xml:space="preserve">в) фамилия, имя, отчество или наименование заявителя; </w:t>
      </w:r>
    </w:p>
    <w:p w14:paraId="26000000">
      <w:pPr>
        <w:pStyle w:val="Style_1"/>
        <w:spacing w:line="228" w:lineRule="auto"/>
        <w:ind w:firstLine="567" w:left="0"/>
        <w:jc w:val="both"/>
        <w:rPr>
          <w:sz w:val="21"/>
        </w:rPr>
      </w:pPr>
      <w:r>
        <w:rPr>
          <w:sz w:val="21"/>
        </w:rPr>
        <w:t xml:space="preserve">г) основания для принятия решения по жалобе, апелляции; </w:t>
      </w:r>
    </w:p>
    <w:p w14:paraId="27000000">
      <w:pPr>
        <w:pStyle w:val="Style_1"/>
        <w:spacing w:line="228" w:lineRule="auto"/>
        <w:ind w:firstLine="567" w:left="0"/>
        <w:jc w:val="both"/>
        <w:rPr>
          <w:sz w:val="21"/>
        </w:rPr>
      </w:pPr>
      <w:r>
        <w:rPr>
          <w:sz w:val="21"/>
        </w:rPr>
        <w:t xml:space="preserve">д) принятое по жалобе, апелляции решение; </w:t>
      </w:r>
    </w:p>
    <w:p w14:paraId="28000000">
      <w:pPr>
        <w:pStyle w:val="Style_1"/>
        <w:spacing w:line="228" w:lineRule="auto"/>
        <w:ind w:firstLine="567" w:left="0"/>
        <w:jc w:val="both"/>
        <w:rPr>
          <w:sz w:val="21"/>
        </w:rPr>
      </w:pPr>
      <w:r>
        <w:rPr>
          <w:sz w:val="21"/>
        </w:rPr>
        <w:t>е) в случае, если жалоба, апелляция признана обоснованной, - сроки устранения выявленных нарушений;</w:t>
      </w:r>
    </w:p>
    <w:p w14:paraId="29000000">
      <w:pPr>
        <w:pStyle w:val="Style_1"/>
        <w:spacing w:line="228" w:lineRule="auto"/>
        <w:ind w:firstLine="567" w:left="0"/>
        <w:jc w:val="both"/>
        <w:rPr>
          <w:sz w:val="21"/>
        </w:rPr>
      </w:pPr>
      <w:r>
        <w:rPr>
          <w:sz w:val="21"/>
        </w:rPr>
        <w:t>ж) сведения о порядке обжалования принятого по жалобе, апелляции решения.</w:t>
      </w:r>
    </w:p>
    <w:p w14:paraId="2A000000">
      <w:pPr>
        <w:pStyle w:val="Style_1"/>
        <w:spacing w:line="228" w:lineRule="auto"/>
        <w:ind w:firstLine="567" w:left="0"/>
        <w:jc w:val="both"/>
        <w:rPr>
          <w:sz w:val="21"/>
        </w:rPr>
      </w:pPr>
      <w:r>
        <w:rPr>
          <w:sz w:val="21"/>
        </w:rPr>
        <w:t>11. Ответ о результатах рассмотрения жалобы, апелляции может быть направлен  почтой  с уведомлением о вручении или  по электронной почте (по желанию заявителя).</w:t>
      </w:r>
    </w:p>
    <w:p w14:paraId="2B000000">
      <w:pPr>
        <w:pStyle w:val="Style_1"/>
        <w:spacing w:line="228" w:lineRule="auto"/>
        <w:ind w:firstLine="567" w:left="0"/>
        <w:jc w:val="both"/>
        <w:rPr>
          <w:sz w:val="21"/>
        </w:rPr>
      </w:pPr>
      <w:r>
        <w:rPr>
          <w:rFonts w:ascii="Times New Roman" w:hAnsi="Times New Roman"/>
          <w:sz w:val="21"/>
        </w:rPr>
        <w:t xml:space="preserve">12. Решение по жалобе, апелляции, принятое </w:t>
      </w:r>
      <w:r>
        <w:rPr>
          <w:sz w:val="21"/>
        </w:rPr>
        <w:t>органом по се</w:t>
      </w:r>
      <w:r>
        <w:rPr>
          <w:sz w:val="21"/>
        </w:rPr>
        <w:t>ртификации</w:t>
      </w:r>
      <w:r>
        <w:rPr>
          <w:rFonts w:ascii="Times New Roman" w:hAnsi="Times New Roman"/>
          <w:sz w:val="21"/>
        </w:rPr>
        <w:t xml:space="preserve"> может быть обжаловано </w:t>
      </w:r>
      <w:r>
        <w:br/>
      </w:r>
      <w:r>
        <w:rPr>
          <w:rFonts w:ascii="Times New Roman" w:hAnsi="Times New Roman"/>
          <w:sz w:val="21"/>
        </w:rPr>
        <w:t>в установленном действующим законодательством РФ порядке.</w:t>
      </w:r>
    </w:p>
    <w:p w14:paraId="2C000000">
      <w:pPr>
        <w:pStyle w:val="Style_1"/>
        <w:spacing w:line="228" w:lineRule="auto"/>
        <w:ind w:firstLine="567" w:left="0"/>
        <w:jc w:val="both"/>
        <w:rPr>
          <w:sz w:val="21"/>
        </w:rPr>
      </w:pPr>
    </w:p>
    <w:p w14:paraId="2D000000">
      <w:pPr>
        <w:pStyle w:val="Style_1"/>
        <w:spacing w:line="228" w:lineRule="auto"/>
        <w:ind w:firstLine="567" w:left="0"/>
        <w:jc w:val="both"/>
        <w:rPr>
          <w:sz w:val="21"/>
        </w:rPr>
      </w:pPr>
    </w:p>
    <w:p w14:paraId="2E000000">
      <w:pPr>
        <w:ind/>
        <w:jc w:val="right"/>
        <w:rPr>
          <w:i w:val="1"/>
          <w:sz w:val="18"/>
        </w:rPr>
      </w:pPr>
      <w:r>
        <w:rPr>
          <w:i w:val="1"/>
          <w:sz w:val="18"/>
        </w:rPr>
        <w:t>актуализация 09.12.2025</w:t>
      </w:r>
    </w:p>
    <w:sectPr>
      <w:footerReference r:id="rId1" w:type="default"/>
      <w:pgSz w:h="16838" w:orient="portrait" w:w="11906"/>
      <w:pgMar w:bottom="397" w:footer="0" w:gutter="0" w:header="0" w:left="709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right"/>
      <w:rPr>
        <w:i w:val="1"/>
        <w:sz w:val="18"/>
      </w:rPr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List Paragraph"/>
    <w:basedOn w:val="Style_1"/>
    <w:link w:val="Style_7_ch"/>
    <w:pPr>
      <w:ind w:firstLine="0" w:left="720"/>
      <w:contextualSpacing w:val="1"/>
    </w:pPr>
  </w:style>
  <w:style w:styleId="Style_7_ch" w:type="character">
    <w:name w:val="List Paragraph"/>
    <w:basedOn w:val="Style_1_ch"/>
    <w:link w:val="Style_7"/>
  </w:style>
  <w:style w:styleId="Style_8" w:type="paragraph">
    <w:name w:val="Body Text"/>
    <w:basedOn w:val="Style_1"/>
    <w:link w:val="Style_8_ch"/>
  </w:style>
  <w:style w:styleId="Style_8_ch" w:type="character">
    <w:name w:val="Body Text"/>
    <w:basedOn w:val="Style_1_ch"/>
    <w:link w:val="Style_8"/>
  </w:style>
  <w:style w:styleId="Style_9" w:type="paragraph">
    <w:name w:val="caption"/>
    <w:basedOn w:val="Style_1"/>
    <w:link w:val="Style_9_ch"/>
    <w:pPr>
      <w:spacing w:after="120" w:before="120"/>
      <w:ind/>
    </w:pPr>
    <w:rPr>
      <w:i w:val="1"/>
    </w:rPr>
  </w:style>
  <w:style w:styleId="Style_9_ch" w:type="character">
    <w:name w:val="caption"/>
    <w:basedOn w:val="Style_1_ch"/>
    <w:link w:val="Style_9"/>
    <w:rPr>
      <w:i w:val="1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footer"/>
    <w:basedOn w:val="Style_1"/>
    <w:link w:val="Style_11_ch"/>
    <w:pPr>
      <w:tabs>
        <w:tab w:leader="none" w:pos="4677" w:val="center"/>
        <w:tab w:leader="none" w:pos="9355" w:val="right"/>
      </w:tabs>
      <w:ind/>
    </w:pPr>
    <w:rPr>
      <w:rFonts w:asciiTheme="minorAscii" w:hAnsiTheme="minorHAnsi"/>
      <w:sz w:val="22"/>
    </w:rPr>
  </w:style>
  <w:style w:styleId="Style_11_ch" w:type="character">
    <w:name w:val="footer"/>
    <w:basedOn w:val="Style_1_ch"/>
    <w:link w:val="Style_11"/>
    <w:rPr>
      <w:rFonts w:asciiTheme="minorAscii" w:hAnsiTheme="minorHAnsi"/>
      <w:sz w:val="22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Колонтитул"/>
    <w:basedOn w:val="Style_1"/>
    <w:link w:val="Style_16_ch"/>
  </w:style>
  <w:style w:styleId="Style_16_ch" w:type="character">
    <w:name w:val="Колонтитул"/>
    <w:basedOn w:val="Style_1_ch"/>
    <w:link w:val="Style_16"/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List"/>
    <w:basedOn w:val="Style_8"/>
    <w:link w:val="Style_21_ch"/>
  </w:style>
  <w:style w:styleId="Style_21_ch" w:type="character">
    <w:name w:val="List"/>
    <w:basedOn w:val="Style_8_ch"/>
    <w:link w:val="Style_21"/>
  </w:style>
  <w:style w:styleId="Style_22" w:type="paragraph">
    <w:name w:val="toc 5"/>
    <w:next w:val="Style_1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header"/>
    <w:basedOn w:val="Style_1"/>
    <w:link w:val="Style_23_ch"/>
    <w:pPr>
      <w:tabs>
        <w:tab w:leader="none" w:pos="4677" w:val="center"/>
        <w:tab w:leader="none" w:pos="9355" w:val="right"/>
      </w:tabs>
      <w:ind/>
    </w:pPr>
    <w:rPr>
      <w:rFonts w:asciiTheme="minorAscii" w:hAnsiTheme="minorHAnsi"/>
      <w:sz w:val="22"/>
    </w:rPr>
  </w:style>
  <w:style w:styleId="Style_23_ch" w:type="character">
    <w:name w:val="header"/>
    <w:basedOn w:val="Style_1_ch"/>
    <w:link w:val="Style_23"/>
    <w:rPr>
      <w:rFonts w:asciiTheme="minorAscii" w:hAnsiTheme="minorHAnsi"/>
      <w:sz w:val="22"/>
    </w:rPr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basedOn w:val="Style_1"/>
    <w:next w:val="Style_8"/>
    <w:link w:val="Style_25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5_ch" w:type="character">
    <w:name w:val="Title"/>
    <w:basedOn w:val="Style_1_ch"/>
    <w:link w:val="Style_25"/>
    <w:rPr>
      <w:rFonts w:ascii="Liberation Sans" w:hAnsi="Liberation Sans"/>
      <w:sz w:val="28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index heading"/>
    <w:basedOn w:val="Style_1"/>
    <w:link w:val="Style_27_ch"/>
  </w:style>
  <w:style w:styleId="Style_27_ch" w:type="character">
    <w:name w:val="index heading"/>
    <w:basedOn w:val="Style_1_ch"/>
    <w:link w:val="Style_27"/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No Spacing"/>
    <w:link w:val="Style_30_ch"/>
  </w:style>
  <w:style w:styleId="Style_30_ch" w:type="character">
    <w:name w:val="No Spacing"/>
    <w:link w:val="Style_30"/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2025-12-09T07:26:06Z</dcterms:modified>
</cp:coreProperties>
</file>