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1"/>
        <w:spacing w:before="240" w:after="283"/>
        <w:rPr/>
      </w:pPr>
      <w:r>
        <w:rPr/>
        <w:t>Приказ Минтруда России № 74н от 25 января 2017 г.</w:t>
      </w:r>
    </w:p>
    <w:p>
      <w:pPr>
        <w:pStyle w:val="Heading2"/>
        <w:rPr/>
      </w:pPr>
      <w:r>
        <w:rPr/>
        <w:t>«Об утверждении положения о комиссии Министерства труда и социальной защиты Российской Федерации по соблюдению требований к служебному (должностному) поведению федеральных государственных гражданских служащих и работников организаций, созданных для выполнения задач, поставленных перед министерством труда и социальной защиты Российской Федерации, и урегулированию конфликта интересов»</w:t>
        <w:br/>
        <w:t>(зарегистрирован в Минюсте России 14.02.2017 N 45629)</w:t>
      </w:r>
    </w:p>
    <w:p>
      <w:pPr>
        <w:pStyle w:val="TextBody"/>
        <w:rPr/>
      </w:pPr>
      <w:r>
        <w:rPr/>
        <w:t>В соответствии с Федеральным законом от 27 июля 2004 г. N 79-ФЗ «О государственной гражданской службе Российской Федерации» (Собрание законодательства Российской Федерации, 2004, N 31, ст. 3215; 2006, N 6, ст. 636; 2007, N 10, ст. 1151; N 16, ст. 1828; N 49, ст. 6070; 2008, N 13, ст. 1186; N 30, ст. 3616; N 52, ст. 6235; 2009, N 29, ст. 3597, 3624; N 48, ст. 5719; N 51, ст. 6150, 6159; 2010, N 5, ст. 459; N 7, ст. 704; N 49, ст. 6413; N 51, ст. 6810; 2011, N 1, ст. 31; N 27, ст. 3866; N 29, ст. 4295; N 48, ст. 6730; N 49, ст. 7333; N 50, ст. 7337; 2012, N 48, ст. 6744; N 50, ст. 6954; N 52, ст. 7571; N 53, ст. 7620, 7652; 2013, N 14, ст. 1665; N 19, ст. 2326, 2329; N 23, ст. 2874; N 27, ст. 3441, 3462, 3477; N 43, ст. 5454; N 48, ст. 6165; N 49, ст. 6351; N 52, ст. 6961; 2014, N 14, ст. 1545; N 49, ст. 6905; N 52, ст. 7542; 2015, N 1, ст. 62, 63; N 14, ст. 2008; N 24, ст. 3374; N 29, ст. 4388; N 41, ст. 5639; 2016, N 1, ст. 15, 38; N 23, ст. 3300; N 27, ст. 4157, 4209), Федеральным законом от 25 декабря 2008 г. N 273-ФЗ «О противодействии коррупции» (Собрание законодательства Российской Федерации, 2008, N 52, ст. 6228; 2011, N 29, ст. 4291; N 48, ст. 6730; 2012, N 50, ст. 6954; N 53, ст. 7605; 2013, N 19, ст. 2329; N 40, ст. 5031; N 52, ст. 6961; 2014, N 52, ст. 7542; 2015, N 41, ст. 5639; N 45, ст. 6204; N 48, ст. 6720; 2016, N 7, ст. 912; N 27, ст. 4169), указами Президента Российской Федерации от 1 июля 2010 г. N 821 «О комиссиях по соблюдению требований к служебному поведению федеральных государственных служащих и урегулированию конфликта интересов» (Собрание законодательства Российской Федерации, 2010, N 27, ст. 3446; 2012, N 12, ст. 1391; 2013, N 14, ст. 1670; N 49, ст. 6399; 2014, N 26, ст. 3518; 2015, N 10, ст. 1506; N 52, ст. 7588), от 2 апреля 2013 г. N 309 «О мерах по реализации отдельных положений Федерального закона «О противодействии коррупции» (Собрание законодательства Российской Федерации, 2013, N 14, ст. 1670; N 23, ст. 2892; N 28, ст. 3813; 2014, N 26, ст. 3520; N 30, ст. 4286; 2015, N 10, ст. 1506; 2016, N 24, ст. 3506), от 23 июня 2014 г. N 453 «О внесении изменений в некоторые акты Президента Российской Федерации по вопросам противодействия коррупции» (Собрание законодательства Российской Федерации, 2014, N 26, ст. 3518), от 8 марта 2015 г. N 120 «О некоторых вопросах противодействия коррупции» (Собрание законодательства Российской Федерации, 2015, N 10, ст. 1506; N 29, ст. 4477) приказываю:</w:t>
      </w:r>
    </w:p>
    <w:p>
      <w:pPr>
        <w:pStyle w:val="TextBody"/>
        <w:rPr/>
      </w:pPr>
      <w:r>
        <w:rPr/>
        <w:t>1. Утвердить Положение о Комиссии Министерства труда и социальной защиты Российской Федерации по соблюдению требований к служебному (должностному) поведению федеральных государственных гражданских служащих и работников организаций, созданных для выполнения задач, поставленных перед Министерством труда и социальной защиты Российской Федерации, и урегулированию конфликта интересов согласно приложению.</w:t>
      </w:r>
    </w:p>
    <w:p>
      <w:pPr>
        <w:pStyle w:val="TextBody"/>
        <w:rPr/>
      </w:pPr>
      <w:r>
        <w:rPr/>
        <w:t>2. Признать утратившими силу:</w:t>
      </w:r>
    </w:p>
    <w:p>
      <w:pPr>
        <w:pStyle w:val="TextBody"/>
        <w:numPr>
          <w:ilvl w:val="0"/>
          <w:numId w:val="1"/>
        </w:numPr>
        <w:tabs>
          <w:tab w:val="left" w:pos="0" w:leader="none"/>
        </w:tabs>
        <w:spacing w:before="0" w:after="0"/>
        <w:ind w:left="707" w:hanging="283"/>
        <w:rPr/>
      </w:pPr>
      <w:r>
        <w:rPr/>
        <w:t xml:space="preserve">приказ Министерства труда и социальной защиты Российской Федерации от 10 декабря 2013 г. N 724н «Об утверждении Положения о Комиссии Министерства труда и социальной защиты Российской Федерации по соблюдению требований к служебному (должностному) поведению федеральных государственных гражданских служащих и работников организаций, созданных для выполнения задач, поставленных перед Министерством труда и социальной защиты Российской Федерации, и урегулированию конфликта интересов» (зарегистрирован Министерством юстиции Российской Федерации 31 декабря 2013 г., регистрационный N 30990); </w:t>
      </w:r>
    </w:p>
    <w:p>
      <w:pPr>
        <w:pStyle w:val="TextBody"/>
        <w:numPr>
          <w:ilvl w:val="0"/>
          <w:numId w:val="1"/>
        </w:numPr>
        <w:tabs>
          <w:tab w:val="left" w:pos="0" w:leader="none"/>
        </w:tabs>
        <w:spacing w:before="0" w:after="0"/>
        <w:ind w:left="707" w:hanging="283"/>
        <w:rPr/>
      </w:pPr>
      <w:r>
        <w:rPr/>
        <w:t xml:space="preserve">приказ Министерства труда и социальной защиты Российской Федерации от 16 октября 2014 г. N 731н «О внесении изменений в Положение о Комиссии Министерства труда и социальной защиты Российской Федерации по соблюдению требований к служебному (должностному) поведению федеральных государственных гражданских служащих и работников организаций, созданных для выполнения задач, поставленных перед Министерством труда и социальной защиты Российской Федерации, и урегулированию конфликта интересов, утвержденное приказом Министерства труда и социальной защиты Российской Федерации от 10 декабря 2013 г. N 724н» (зарегистрирован Министерством юстиции Российской Федерации 20 ноября 2014 г., регистрационный N 34786); </w:t>
      </w:r>
    </w:p>
    <w:p>
      <w:pPr>
        <w:pStyle w:val="TextBody"/>
        <w:numPr>
          <w:ilvl w:val="0"/>
          <w:numId w:val="1"/>
        </w:numPr>
        <w:tabs>
          <w:tab w:val="left" w:pos="0" w:leader="none"/>
        </w:tabs>
        <w:ind w:left="707" w:hanging="283"/>
        <w:rPr/>
      </w:pPr>
      <w:r>
        <w:rPr/>
        <w:t xml:space="preserve">приказ Министерства труда и социальной защиты Российской Федерации от 2 декабря 2015 г. N 935н «О внесении изменений в Положение о Комиссии Министерства труда и социальной защиты Российской Федерации по соблюдению требований к служебному (должностному) поведению федеральных государственных гражданских служащих и работников организаций, созданных для выполнения задач, поставленных перед Министерством труда и социальной защиты Российской Федерации, и урегулированию конфликта интересов, утвержденное приказом Министерства труда и социальной защиты Российской Федерации от 10 декабря 2013 г. N 724н» (зарегистрирован Министерством юстиции Российской Федерации 24 декабря 2015 г., регистрационный N 40227). </w:t>
      </w:r>
    </w:p>
    <w:p>
      <w:pPr>
        <w:pStyle w:val="TextBody"/>
        <w:rPr/>
      </w:pPr>
      <w:r>
        <w:rPr>
          <w:rStyle w:val="StrongEmphasis"/>
        </w:rPr>
        <w:t>Министр</w:t>
      </w:r>
    </w:p>
    <w:p>
      <w:pPr>
        <w:pStyle w:val="TextBody"/>
        <w:spacing w:before="0" w:after="283"/>
        <w:rPr/>
      </w:pPr>
      <w:r>
        <w:rPr>
          <w:rStyle w:val="StrongEmphasis"/>
        </w:rPr>
        <w:t>М.А. Топилин</w:t>
      </w:r>
    </w:p>
    <w:sectPr>
      <w:type w:val="nextPage"/>
      <w:pgSz w:w="11906" w:h="16838"/>
      <w:pgMar w:left="1134" w:right="567" w:header="0" w:top="567" w:footer="0" w:bottom="567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horndale">
    <w:altName w:val="Times New Roman"/>
    <w:charset w:val="00"/>
    <w:family w:val="roman"/>
    <w:pitch w:val="variable"/>
  </w:font>
  <w:font w:name="OpenSymbol">
    <w:altName w:val="Arial Unicode MS"/>
    <w:charset w:val="02"/>
    <w:family w:val="auto"/>
    <w:pitch w:val="default"/>
  </w:font>
  <w:font w:name="Albany">
    <w:altName w:val="Arial"/>
    <w:charset w:val="00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  <w:rFonts w:cs="OpenSymbol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</w:pPr>
    <w:rPr>
      <w:rFonts w:ascii="Liberation Serif" w:hAnsi="Liberation Serif" w:eastAsia="DejaVu Sans" w:cs="DejaVu Sans"/>
      <w:color w:val="auto"/>
      <w:sz w:val="24"/>
      <w:szCs w:val="24"/>
      <w:lang w:val="en-US" w:eastAsia="zh-CN" w:bidi="hi-IN"/>
    </w:rPr>
  </w:style>
  <w:style w:type="paragraph" w:styleId="Heading1">
    <w:name w:val="Heading 1"/>
    <w:basedOn w:val="Heading"/>
    <w:next w:val="TextBody"/>
    <w:qFormat/>
    <w:pPr/>
    <w:rPr>
      <w:rFonts w:ascii="Thorndale" w:hAnsi="Thorndale"/>
      <w:b/>
      <w:bCs/>
      <w:sz w:val="48"/>
      <w:szCs w:val="44"/>
    </w:rPr>
  </w:style>
  <w:style w:type="paragraph" w:styleId="Heading2">
    <w:name w:val="Heading 2"/>
    <w:basedOn w:val="Heading"/>
    <w:next w:val="TextBody"/>
    <w:qFormat/>
    <w:pPr>
      <w:spacing w:before="200" w:after="120"/>
      <w:outlineLvl w:val="1"/>
    </w:pPr>
    <w:rPr>
      <w:rFonts w:ascii="Liberation Serif" w:hAnsi="Liberation Serif" w:eastAsia="DejaVu Sans" w:cs="DejaVu Sans"/>
      <w:b/>
      <w:bCs/>
      <w:sz w:val="36"/>
      <w:szCs w:val="36"/>
    </w:rPr>
  </w:style>
  <w:style w:type="character" w:styleId="EndnoteCharacters">
    <w:name w:val="Endnote Characters"/>
    <w:qFormat/>
    <w:rPr/>
  </w:style>
  <w:style w:type="character" w:styleId="FootnoteCharacters">
    <w:name w:val="Footnote Characters"/>
    <w:qFormat/>
    <w:rPr/>
  </w:style>
  <w:style w:type="character" w:styleId="InternetLink">
    <w:name w:val="Internet Link"/>
    <w:rPr>
      <w:color w:val="000080"/>
      <w:u w:val="single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character" w:styleId="StrongEmphasis">
    <w:name w:val="Strong Emphasis"/>
    <w:qFormat/>
    <w:rPr>
      <w:b/>
      <w:bCs/>
    </w:rPr>
  </w:style>
  <w:style w:type="paragraph" w:styleId="Heading">
    <w:name w:val="Heading"/>
    <w:basedOn w:val="Normal"/>
    <w:next w:val="TextBody"/>
    <w:qFormat/>
    <w:pPr>
      <w:keepNext w:val="true"/>
      <w:spacing w:before="240" w:after="283"/>
    </w:pPr>
    <w:rPr>
      <w:rFonts w:ascii="Albany" w:hAnsi="Albany"/>
      <w:sz w:val="28"/>
      <w:szCs w:val="26"/>
    </w:rPr>
  </w:style>
  <w:style w:type="paragraph" w:styleId="TextBody">
    <w:name w:val="Body Text"/>
    <w:basedOn w:val="Normal"/>
    <w:pPr>
      <w:spacing w:before="0" w:after="283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orizontalLine">
    <w:name w:val="Horizontal Line"/>
    <w:basedOn w:val="Normal"/>
    <w:next w:val="TextBody"/>
    <w:qFormat/>
    <w:pPr>
      <w:pBdr>
        <w:bottom w:val="double" w:sz="2" w:space="0" w:color="808080"/>
      </w:pBdr>
      <w:spacing w:before="0" w:after="283"/>
    </w:pPr>
    <w:rPr>
      <w:sz w:val="12"/>
    </w:rPr>
  </w:style>
  <w:style w:type="paragraph" w:styleId="Sender">
    <w:name w:val="Envelope Return"/>
    <w:basedOn w:val="Normal"/>
    <w:pPr/>
    <w:rPr>
      <w:i/>
    </w:rPr>
  </w:style>
  <w:style w:type="paragraph" w:styleId="TableContents">
    <w:name w:val="Table Contents"/>
    <w:basedOn w:val="TextBody"/>
    <w:qFormat/>
    <w:pPr/>
    <w:rPr/>
  </w:style>
  <w:style w:type="paragraph" w:styleId="Footer">
    <w:name w:val="Footer"/>
    <w:basedOn w:val="Normal"/>
    <w:pPr>
      <w:suppressLineNumbers/>
      <w:tabs>
        <w:tab w:val="center" w:pos="4818" w:leader="none"/>
        <w:tab w:val="right" w:pos="9637" w:leader="none"/>
      </w:tabs>
    </w:pPr>
    <w:rPr/>
  </w:style>
  <w:style w:type="paragraph" w:styleId="Header">
    <w:name w:val="Header"/>
    <w:basedOn w:val="Normal"/>
    <w:pPr>
      <w:suppressLineNumbers/>
      <w:tabs>
        <w:tab w:val="center" w:pos="4818" w:leader="none"/>
        <w:tab w:val="right" w:pos="9637" w:leader="none"/>
      </w:tabs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LibreOffice/5.3.7.2$Linux_X86_64 LibreOffice_project/6b8ed514a9f8b44d37a1b96673cbbdd077e24059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